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50" w:rsidRPr="00446750" w:rsidRDefault="00446750" w:rsidP="0044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Od 2012 roku </w:t>
      </w:r>
      <w:r w:rsidRPr="00446750">
        <w:rPr>
          <w:rFonts w:ascii="Arial" w:eastAsia="Times New Roman" w:hAnsi="Arial" w:cs="Arial"/>
          <w:sz w:val="25"/>
          <w:szCs w:val="25"/>
          <w:lang w:eastAsia="pl-PL"/>
        </w:rPr>
        <w:t xml:space="preserve">kieruje projektem naukowym “Małopolskie Laboratorium Budownictwa Energooszczędnego”, będąc autorem projektu architektonicznego budynku oraz współautorem głównych założeń laboratorium. W 2016 roku uzyskał z wyróżnieniem stopień naukowy doktora habilitowanego w dziedzinie Nauk Technicznych w dyscyplinie Architektura i Urbanistyka. Jego praca habilitacyjna została uznana za najlepszą pracę habilitacyjną z dziedziny architektury i budownictwa w Polsce przez Ministra Infrastruktury w 2017 roku. Książka habilitacyjna pt. „COP. Centralny Okręg Przemysłowy 1936-1939. Architektura i urbanistyka” została uznana przez Ministra Kultury i Dziedzictwa Narodowego drugą najważniejszą książką architektoniczną roku. Jest członkiem Rad Naukowych instytucji kulturalnych, przewodniczącym kapituły konkursu na realizację najlepszych budynków energooszczędnych w Krakowie. Od 2015 roku piastuje stanowisko Kierownika Małopolskiego Laboratorium Budownictwa Energooszczędnego (MLBE) na Wydziale Inżynierii Lądowej Politechniki Krakowskiej. W 2017 roku otrzymał od Prezydenta RP brązowy Medal za Długoletnią Służbę a w 2019 roku odznaczenie „Honoris </w:t>
      </w:r>
      <w:proofErr w:type="spellStart"/>
      <w:r w:rsidRPr="00446750">
        <w:rPr>
          <w:rFonts w:ascii="Arial" w:eastAsia="Times New Roman" w:hAnsi="Arial" w:cs="Arial"/>
          <w:sz w:val="25"/>
          <w:szCs w:val="25"/>
          <w:lang w:eastAsia="pl-PL"/>
        </w:rPr>
        <w:t>Gratia</w:t>
      </w:r>
      <w:proofErr w:type="spellEnd"/>
      <w:r w:rsidRPr="00446750">
        <w:rPr>
          <w:rFonts w:ascii="Arial" w:eastAsia="Times New Roman" w:hAnsi="Arial" w:cs="Arial"/>
          <w:sz w:val="25"/>
          <w:szCs w:val="25"/>
          <w:lang w:eastAsia="pl-PL"/>
        </w:rPr>
        <w:t xml:space="preserve">” za zasługi dla miasta Krakowa. W ramach pracy naukowej i dydaktycznej jego zainteresowania dotyczą budownictwa energooszczędnego i ekologicznie zrównoważonego, idei smart </w:t>
      </w:r>
      <w:proofErr w:type="spellStart"/>
      <w:r w:rsidRPr="00446750">
        <w:rPr>
          <w:rFonts w:ascii="Arial" w:eastAsia="Times New Roman" w:hAnsi="Arial" w:cs="Arial"/>
          <w:sz w:val="25"/>
          <w:szCs w:val="25"/>
          <w:lang w:eastAsia="pl-PL"/>
        </w:rPr>
        <w:t>city</w:t>
      </w:r>
      <w:proofErr w:type="spellEnd"/>
      <w:r w:rsidRPr="00446750">
        <w:rPr>
          <w:rFonts w:ascii="Arial" w:eastAsia="Times New Roman" w:hAnsi="Arial" w:cs="Arial"/>
          <w:sz w:val="25"/>
          <w:szCs w:val="25"/>
          <w:lang w:eastAsia="pl-PL"/>
        </w:rPr>
        <w:t xml:space="preserve">, a także mikroklimatu wnętrz i jakości środowiska mieszkaniowego. Uczestniczy w konferencjach związanych z Ochroną Zabytków, jest organizatorem cyklicznej konferencji Zabytki i Energia, Nocy Naukowców, Dnia Wynalazków a także w programach partnerskich prowadzonych przez Miasto Kraków (Agenda </w:t>
      </w:r>
      <w:proofErr w:type="spellStart"/>
      <w:r w:rsidRPr="00446750">
        <w:rPr>
          <w:rFonts w:ascii="Arial" w:eastAsia="Times New Roman" w:hAnsi="Arial" w:cs="Arial"/>
          <w:sz w:val="25"/>
          <w:szCs w:val="25"/>
          <w:lang w:eastAsia="pl-PL"/>
        </w:rPr>
        <w:t>Unesco</w:t>
      </w:r>
      <w:proofErr w:type="spellEnd"/>
      <w:r w:rsidRPr="00446750">
        <w:rPr>
          <w:rFonts w:ascii="Arial" w:eastAsia="Times New Roman" w:hAnsi="Arial" w:cs="Arial"/>
          <w:sz w:val="25"/>
          <w:szCs w:val="25"/>
          <w:lang w:eastAsia="pl-PL"/>
        </w:rPr>
        <w:t>). Współpracuje z Technicznym Uniwersytetem w Berlinie. Wykłada gościnnie w Instytucie Historii Sztuki na Uniwersytecie Jagiellońskim, współpracuje z Akademią Sztuk Pięknych. Jest autorem ok. 70 publikacji, w tym najwyżej punktowanych oraz autorem ponad 120 projektów architektonicznych w tym wielu wyróżnianych w ogólnopolskich konkursach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. </w:t>
      </w:r>
      <w:bookmarkStart w:id="0" w:name="_GoBack"/>
      <w:bookmarkEnd w:id="0"/>
    </w:p>
    <w:p w:rsidR="003A06DF" w:rsidRDefault="00446750"/>
    <w:sectPr w:rsidR="003A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3"/>
    <w:rsid w:val="00446750"/>
    <w:rsid w:val="00802F9B"/>
    <w:rsid w:val="00836801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1686E-5A1E-41A4-B52F-CBFBCC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2020-10-15T14:16:00Z</dcterms:created>
  <dcterms:modified xsi:type="dcterms:W3CDTF">2020-10-15T14:18:00Z</dcterms:modified>
</cp:coreProperties>
</file>