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27" w:rsidRDefault="00602627" w:rsidP="00602627">
      <w:pPr>
        <w:jc w:val="both"/>
      </w:pPr>
      <w:r>
        <w:t>Fizyk-energetyk, Ekonomista. Zajmuje się tematyką auditingu energetycznego, modelowania transportu ciepła i masy w budynkach. Od 2013 roku Prezes Zarządu Stowarzyszenia Certyfikatorów i Audytorów Energetycznych</w:t>
      </w:r>
    </w:p>
    <w:p w:rsidR="003A06DF" w:rsidRDefault="00602627">
      <w:bookmarkStart w:id="0" w:name="_GoBack"/>
      <w:bookmarkEnd w:id="0"/>
    </w:p>
    <w:sectPr w:rsidR="003A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BC"/>
    <w:rsid w:val="00462DBC"/>
    <w:rsid w:val="00602627"/>
    <w:rsid w:val="00802F9B"/>
    <w:rsid w:val="008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8E60-50E3-4AFF-A46C-94B77BD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2020-10-15T14:09:00Z</dcterms:created>
  <dcterms:modified xsi:type="dcterms:W3CDTF">2020-10-15T14:09:00Z</dcterms:modified>
</cp:coreProperties>
</file>